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/>
      </w:tblPr>
      <w:tblGrid>
        <w:gridCol w:w="1120"/>
        <w:gridCol w:w="3040"/>
        <w:gridCol w:w="1820"/>
        <w:gridCol w:w="1820"/>
      </w:tblGrid>
      <w:tr w:rsidR="006A05BF" w:rsidRPr="00C73630" w:rsidTr="00A0080D">
        <w:trPr>
          <w:trHeight w:val="300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</w:rPr>
              <w:t xml:space="preserve">Budget primitif - 2021 – Commune M14 </w:t>
            </w:r>
          </w:p>
        </w:tc>
      </w:tr>
      <w:tr w:rsidR="006A05BF" w:rsidRPr="00C73630" w:rsidTr="00A0080D">
        <w:trPr>
          <w:trHeight w:val="1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ind w:firstLineChars="100" w:firstLine="200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</w:tr>
      <w:tr w:rsidR="006A05BF" w:rsidRPr="00C73630" w:rsidTr="00A0080D">
        <w:trPr>
          <w:trHeight w:val="315"/>
        </w:trPr>
        <w:tc>
          <w:tcPr>
            <w:tcW w:w="780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SECTION DE FONCTIONNEMENT - DEPENSES - B.P 2021</w:t>
            </w:r>
          </w:p>
        </w:tc>
      </w:tr>
      <w:tr w:rsidR="006A05BF" w:rsidRPr="00C73630" w:rsidTr="00A0080D">
        <w:trPr>
          <w:trHeight w:val="450"/>
        </w:trPr>
        <w:tc>
          <w:tcPr>
            <w:tcW w:w="11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Chapitres</w:t>
            </w:r>
          </w:p>
        </w:tc>
        <w:tc>
          <w:tcPr>
            <w:tcW w:w="30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Libellés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Opérations réelles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Pourcentage</w:t>
            </w:r>
          </w:p>
        </w:tc>
      </w:tr>
      <w:tr w:rsidR="006A05BF" w:rsidRPr="00C73630" w:rsidTr="00A0080D">
        <w:trPr>
          <w:trHeight w:val="36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Charges à caractère général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261 225,88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36,38%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Charges de personnel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292 400,00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40,72%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Autres ch. Gestion courante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93 700,00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13,05%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Charges financières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10 300,00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1,43%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Charges exceptionnelles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0,07%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Atténuation de produits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2,79%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Dép. Imprévues de </w:t>
            </w:r>
            <w:proofErr w:type="spellStart"/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Fonct</w:t>
            </w:r>
            <w:proofErr w:type="spellEnd"/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35 500,00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4,94%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042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Opérations d'ordre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0,63%</w:t>
            </w:r>
          </w:p>
        </w:tc>
      </w:tr>
      <w:tr w:rsidR="006A05BF" w:rsidRPr="00C73630" w:rsidTr="00A0080D">
        <w:trPr>
          <w:trHeight w:val="450"/>
        </w:trPr>
        <w:tc>
          <w:tcPr>
            <w:tcW w:w="1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718 125,88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100,00%</w:t>
            </w:r>
          </w:p>
        </w:tc>
      </w:tr>
    </w:tbl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4905375" cy="2800350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CB41647-31A8-43F8-B57C-DEC0B22571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tbl>
      <w:tblPr>
        <w:tblW w:w="7816" w:type="dxa"/>
        <w:tblCellMar>
          <w:left w:w="70" w:type="dxa"/>
          <w:right w:w="70" w:type="dxa"/>
        </w:tblCellMar>
        <w:tblLook w:val="04A0"/>
      </w:tblPr>
      <w:tblGrid>
        <w:gridCol w:w="1286"/>
        <w:gridCol w:w="2787"/>
        <w:gridCol w:w="1823"/>
        <w:gridCol w:w="1920"/>
      </w:tblGrid>
      <w:tr w:rsidR="006A05BF" w:rsidRPr="00C73630" w:rsidTr="00A0080D">
        <w:trPr>
          <w:trHeight w:val="315"/>
        </w:trPr>
        <w:tc>
          <w:tcPr>
            <w:tcW w:w="7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SECTION DE FONCTIONNEMENT - RECETTES - BP 2021</w:t>
            </w:r>
          </w:p>
        </w:tc>
      </w:tr>
      <w:tr w:rsidR="006A05BF" w:rsidRPr="00C73630" w:rsidTr="00A0080D">
        <w:trPr>
          <w:trHeight w:val="405"/>
        </w:trPr>
        <w:tc>
          <w:tcPr>
            <w:tcW w:w="1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Chapitres</w:t>
            </w:r>
          </w:p>
        </w:tc>
        <w:tc>
          <w:tcPr>
            <w:tcW w:w="27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Libellés</w:t>
            </w:r>
          </w:p>
        </w:tc>
        <w:tc>
          <w:tcPr>
            <w:tcW w:w="182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Opérations réelles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Pourcentage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Atténuation de charges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Produits des services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67 000,00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9,33%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Impôts et taxes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407 500,00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56,74%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Dotations et Participations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127 262,00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17,72%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Autres produits gestion courante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6 500,00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0,91%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Produits financiers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Produits exceptionnels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0,28%</w:t>
            </w:r>
          </w:p>
        </w:tc>
      </w:tr>
      <w:tr w:rsidR="006A05BF" w:rsidRPr="00C73630" w:rsidTr="00A0080D">
        <w:trPr>
          <w:trHeight w:val="300"/>
        </w:trPr>
        <w:tc>
          <w:tcPr>
            <w:tcW w:w="12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Résultat de </w:t>
            </w:r>
            <w:proofErr w:type="spellStart"/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fonct</w:t>
            </w:r>
            <w:proofErr w:type="spellEnd"/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. Reporté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107 863,88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15,02%</w:t>
            </w:r>
          </w:p>
        </w:tc>
      </w:tr>
      <w:tr w:rsidR="006A05BF" w:rsidRPr="00C73630" w:rsidTr="00A0080D">
        <w:trPr>
          <w:trHeight w:val="465"/>
        </w:trPr>
        <w:tc>
          <w:tcPr>
            <w:tcW w:w="1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82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718 125,88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100,00%</w:t>
            </w:r>
          </w:p>
        </w:tc>
      </w:tr>
      <w:tr w:rsidR="006A05BF" w:rsidRPr="00C73630" w:rsidTr="00A0080D">
        <w:trPr>
          <w:trHeight w:val="19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</w:tr>
    </w:tbl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878998" cy="2809875"/>
            <wp:effectExtent l="0" t="0" r="0" b="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07E1324-8042-46FF-9DAE-A2300168EB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/>
      </w:tblPr>
      <w:tblGrid>
        <w:gridCol w:w="1120"/>
        <w:gridCol w:w="3040"/>
        <w:gridCol w:w="1820"/>
        <w:gridCol w:w="1820"/>
      </w:tblGrid>
      <w:tr w:rsidR="006A05BF" w:rsidRPr="00C73630" w:rsidTr="00A0080D">
        <w:trPr>
          <w:trHeight w:val="31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SECTION D'INVESTISSEMENT - DEPENSES - BP 2021</w:t>
            </w:r>
          </w:p>
        </w:tc>
      </w:tr>
      <w:tr w:rsidR="006A05BF" w:rsidRPr="00C73630" w:rsidTr="00A0080D">
        <w:trPr>
          <w:trHeight w:val="330"/>
        </w:trPr>
        <w:tc>
          <w:tcPr>
            <w:tcW w:w="1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Chapitres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Libellés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Opérations réelles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6A05BF" w:rsidRPr="00C73630" w:rsidTr="00A0080D">
        <w:trPr>
          <w:trHeight w:val="33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Remboursements d'emprunt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4,43%</w:t>
            </w:r>
          </w:p>
        </w:tc>
      </w:tr>
      <w:tr w:rsidR="006A05BF" w:rsidRPr="00C73630" w:rsidTr="00A0080D">
        <w:trPr>
          <w:trHeight w:val="33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Solde d'exécution reporté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475 678,51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47,95%</w:t>
            </w:r>
          </w:p>
        </w:tc>
      </w:tr>
      <w:tr w:rsidR="006A05BF" w:rsidRPr="00C73630" w:rsidTr="00A0080D">
        <w:trPr>
          <w:trHeight w:val="315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Dépenses imprévues </w:t>
            </w:r>
            <w:proofErr w:type="spellStart"/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Invest</w:t>
            </w:r>
            <w:proofErr w:type="spellEnd"/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2,52%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Immobilisations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447 451,49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45,10%</w:t>
            </w:r>
          </w:p>
        </w:tc>
      </w:tr>
      <w:tr w:rsidR="006A05BF" w:rsidRPr="00C73630" w:rsidTr="00A0080D">
        <w:trPr>
          <w:trHeight w:val="405"/>
        </w:trPr>
        <w:tc>
          <w:tcPr>
            <w:tcW w:w="11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TOTAL GENERAL DES DEPENSES 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992 130,00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100,00%</w:t>
            </w:r>
          </w:p>
        </w:tc>
      </w:tr>
      <w:tr w:rsidR="006A05BF" w:rsidRPr="00C73630" w:rsidTr="00A0080D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/>
        </w:tc>
      </w:tr>
    </w:tbl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4831373" cy="1905000"/>
            <wp:effectExtent l="0" t="0" r="7620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63B9DDA-2D17-4EEC-A500-C1D8B86343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/>
      </w:tblPr>
      <w:tblGrid>
        <w:gridCol w:w="1120"/>
        <w:gridCol w:w="3040"/>
        <w:gridCol w:w="1820"/>
        <w:gridCol w:w="1820"/>
      </w:tblGrid>
      <w:tr w:rsidR="006A05BF" w:rsidRPr="00C73630" w:rsidTr="00A0080D">
        <w:trPr>
          <w:trHeight w:val="31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SECTION D'INVESTISSEMENT - RECETTES - BP 2021</w:t>
            </w:r>
          </w:p>
        </w:tc>
      </w:tr>
      <w:tr w:rsidR="006A05BF" w:rsidRPr="00C73630" w:rsidTr="00A0080D">
        <w:trPr>
          <w:trHeight w:val="330"/>
        </w:trPr>
        <w:tc>
          <w:tcPr>
            <w:tcW w:w="1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Chapitres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Libellés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Opérations réelles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6A05BF" w:rsidRPr="00C73630" w:rsidTr="00A0080D">
        <w:trPr>
          <w:trHeight w:val="36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FCTVA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158 000,00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15,93%</w:t>
            </w:r>
          </w:p>
        </w:tc>
      </w:tr>
      <w:tr w:rsidR="006A05BF" w:rsidRPr="00C73630" w:rsidTr="00A0080D">
        <w:trPr>
          <w:trHeight w:val="36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10222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Taxe d'aménagement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3,02%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Subventions d'investissement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300 130,00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30,25%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Produits des cessions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50,40%</w:t>
            </w:r>
          </w:p>
        </w:tc>
      </w:tr>
      <w:tr w:rsidR="006A05BF" w:rsidRPr="00C73630" w:rsidTr="00A0080D">
        <w:trPr>
          <w:trHeight w:val="300"/>
        </w:trPr>
        <w:tc>
          <w:tcPr>
            <w:tcW w:w="11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Solde exécution reporté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0,00%</w:t>
            </w:r>
          </w:p>
        </w:tc>
      </w:tr>
      <w:tr w:rsidR="006A05BF" w:rsidRPr="00C73630" w:rsidTr="00A0080D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Op. patrimoniales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0,40%</w:t>
            </w:r>
          </w:p>
        </w:tc>
      </w:tr>
      <w:tr w:rsidR="006A05BF" w:rsidRPr="00C73630" w:rsidTr="00A0080D">
        <w:trPr>
          <w:trHeight w:val="375"/>
        </w:trPr>
        <w:tc>
          <w:tcPr>
            <w:tcW w:w="11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TOTAL GENERAL DES RECETTES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992 130,00</w:t>
            </w:r>
          </w:p>
        </w:tc>
        <w:tc>
          <w:tcPr>
            <w:tcW w:w="1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05BF" w:rsidRPr="00C73630" w:rsidRDefault="006A05BF" w:rsidP="00A0080D">
            <w:pPr>
              <w:jc w:val="right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73630">
              <w:rPr>
                <w:rFonts w:ascii="Trebuchet MS" w:hAnsi="Trebuchet MS" w:cs="Arial"/>
                <w:b/>
                <w:bCs/>
                <w:sz w:val="18"/>
                <w:szCs w:val="18"/>
              </w:rPr>
              <w:t>100,00%</w:t>
            </w:r>
          </w:p>
        </w:tc>
      </w:tr>
    </w:tbl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>
            <wp:extent cx="4867275" cy="2466975"/>
            <wp:effectExtent l="0" t="0" r="0" b="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119F47-D6B8-42E1-985A-912685B887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05BF" w:rsidRDefault="006A05BF" w:rsidP="006A05BF">
      <w:pPr>
        <w:tabs>
          <w:tab w:val="left" w:pos="5775"/>
        </w:tabs>
        <w:ind w:right="543"/>
        <w:rPr>
          <w:rFonts w:ascii="Trebuchet MS" w:hAnsi="Trebuchet MS" w:cstheme="minorHAnsi"/>
          <w:b/>
          <w:sz w:val="18"/>
          <w:szCs w:val="18"/>
          <w:u w:val="single"/>
        </w:rPr>
      </w:pPr>
    </w:p>
    <w:p w:rsidR="001553B0" w:rsidRDefault="001553B0"/>
    <w:sectPr w:rsidR="001553B0" w:rsidSect="006A0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A05BF"/>
    <w:rsid w:val="001553B0"/>
    <w:rsid w:val="006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05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5B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Dépenses de fonctionnement</a:t>
            </a:r>
          </a:p>
        </c:rich>
      </c:tx>
      <c:layout>
        <c:manualLayout>
          <c:xMode val="edge"/>
          <c:yMode val="edge"/>
          <c:x val="0.3168840302729154"/>
          <c:y val="3.4988870062128336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60985165202784E-2"/>
          <c:y val="0.37851785277928512"/>
          <c:w val="0.54239665026934314"/>
          <c:h val="0.3530712744411816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C5-4E03-889F-C33BAD9E3037}"/>
              </c:ext>
            </c:extLst>
          </c:dPt>
          <c:dPt>
            <c:idx val="1"/>
            <c:spPr>
              <a:solidFill>
                <a:schemeClr val="bg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C5-4E03-889F-C33BAD9E3037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C5-4E03-889F-C33BAD9E3037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C5-4E03-889F-C33BAD9E3037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3C5-4E03-889F-C33BAD9E3037}"/>
              </c:ext>
            </c:extLst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3C5-4E03-889F-C33BAD9E3037}"/>
              </c:ext>
            </c:extLst>
          </c:dPt>
          <c:dPt>
            <c:idx val="6"/>
            <c:spPr>
              <a:solidFill>
                <a:srgbClr val="00206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3C5-4E03-889F-C33BAD9E303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Trebuchet MS" pitchFamily="34" charset="0"/>
                  </a:defRPr>
                </a:pPr>
                <a:endParaRPr lang="fr-FR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'BP12'!$B$5:$B$12</c:f>
              <c:strCache>
                <c:ptCount val="8"/>
                <c:pt idx="0">
                  <c:v>Charges à caractère général</c:v>
                </c:pt>
                <c:pt idx="1">
                  <c:v>Charges de personnel</c:v>
                </c:pt>
                <c:pt idx="2">
                  <c:v>Autres ch. Gestion courante</c:v>
                </c:pt>
                <c:pt idx="3">
                  <c:v>Charges financières</c:v>
                </c:pt>
                <c:pt idx="4">
                  <c:v>Charges exceptionnelles</c:v>
                </c:pt>
                <c:pt idx="5">
                  <c:v>Atténuation de produits</c:v>
                </c:pt>
                <c:pt idx="6">
                  <c:v>Dép. Imprévues de Fonct.</c:v>
                </c:pt>
                <c:pt idx="7">
                  <c:v>Opérations d'ordre</c:v>
                </c:pt>
              </c:strCache>
            </c:strRef>
          </c:cat>
          <c:val>
            <c:numRef>
              <c:f>'BP12'!$D$5:$D$12</c:f>
              <c:numCache>
                <c:formatCode>0.00%</c:formatCode>
                <c:ptCount val="8"/>
                <c:pt idx="0">
                  <c:v>0.36376057077903967</c:v>
                </c:pt>
                <c:pt idx="1">
                  <c:v>0.40717095448502705</c:v>
                </c:pt>
                <c:pt idx="2">
                  <c:v>0.1304785172204071</c:v>
                </c:pt>
                <c:pt idx="3">
                  <c:v>1.4342889299575189E-2</c:v>
                </c:pt>
                <c:pt idx="4">
                  <c:v>6.9625676211529982E-4</c:v>
                </c:pt>
                <c:pt idx="5">
                  <c:v>2.7850270484612021E-2</c:v>
                </c:pt>
                <c:pt idx="6">
                  <c:v>4.9434230110186335E-2</c:v>
                </c:pt>
                <c:pt idx="7">
                  <c:v>6.2663108590376949E-3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43C5-4E03-889F-C33BAD9E3037}"/>
            </c:ext>
          </c:extLst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681731773819608"/>
          <c:y val="0.37215621781454578"/>
          <c:w val="0.31688403027291551"/>
          <c:h val="0.3657945446692583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zero"/>
  </c:chart>
  <c:spPr>
    <a:noFill/>
    <a:ln w="9525">
      <a:noFill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Recettes de fonctionnement</a:t>
            </a:r>
          </a:p>
        </c:rich>
      </c:tx>
      <c:layout>
        <c:manualLayout>
          <c:xMode val="edge"/>
          <c:yMode val="edge"/>
          <c:x val="0.32417056266404259"/>
          <c:y val="3.7366075003336448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8349206470289775E-2"/>
          <c:y val="0.36007327921154392"/>
          <c:w val="0.56827483093869602"/>
          <c:h val="0.3940424564956516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E34-48F6-BEEE-644710EC1B18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E34-48F6-BEEE-644710EC1B18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E34-48F6-BEEE-644710EC1B18}"/>
              </c:ext>
            </c:extLst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E34-48F6-BEEE-644710EC1B18}"/>
              </c:ext>
            </c:extLst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AE34-48F6-BEEE-644710EC1B18}"/>
              </c:ext>
            </c:extLst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AE34-48F6-BEEE-644710EC1B18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Trebuchet MS" pitchFamily="34" charset="0"/>
                  </a:defRPr>
                </a:pPr>
                <a:endParaRPr lang="fr-FR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'BP12'!$B$33:$B$40</c:f>
              <c:strCache>
                <c:ptCount val="8"/>
                <c:pt idx="0">
                  <c:v>Atténuation de charges</c:v>
                </c:pt>
                <c:pt idx="1">
                  <c:v>Produits des services</c:v>
                </c:pt>
                <c:pt idx="2">
                  <c:v>Impôts et taxes</c:v>
                </c:pt>
                <c:pt idx="3">
                  <c:v>Dotations et Participations</c:v>
                </c:pt>
                <c:pt idx="4">
                  <c:v>Autres produits gestion courante</c:v>
                </c:pt>
                <c:pt idx="5">
                  <c:v>Produits financiers</c:v>
                </c:pt>
                <c:pt idx="6">
                  <c:v>Produits exceptionnels</c:v>
                </c:pt>
                <c:pt idx="7">
                  <c:v>Résultat de fonct. Reporté</c:v>
                </c:pt>
              </c:strCache>
            </c:strRef>
          </c:cat>
          <c:val>
            <c:numRef>
              <c:f>'BP12'!$D$33:$D$40</c:f>
              <c:numCache>
                <c:formatCode>0.00%</c:formatCode>
                <c:ptCount val="8"/>
                <c:pt idx="0">
                  <c:v>0</c:v>
                </c:pt>
                <c:pt idx="1">
                  <c:v>9.329840612345025E-2</c:v>
                </c:pt>
                <c:pt idx="2">
                  <c:v>0.56744926112396898</c:v>
                </c:pt>
                <c:pt idx="3">
                  <c:v>0.17721405612063457</c:v>
                </c:pt>
                <c:pt idx="4">
                  <c:v>9.0513379074988968E-3</c:v>
                </c:pt>
                <c:pt idx="5">
                  <c:v>0</c:v>
                </c:pt>
                <c:pt idx="6">
                  <c:v>2.7850270484612023E-3</c:v>
                </c:pt>
                <c:pt idx="7">
                  <c:v>0.1502019116759864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E34-48F6-BEEE-644710EC1B18}"/>
            </c:ext>
          </c:extLst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716186843832062"/>
          <c:y val="0.39064549134748028"/>
          <c:w val="0.2870667240813648"/>
          <c:h val="0.3362950309177457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64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zero"/>
  </c:chart>
  <c:spPr>
    <a:noFill/>
    <a:ln w="9525">
      <a:noFill/>
    </a:ln>
  </c:spPr>
  <c:txPr>
    <a:bodyPr/>
    <a:lstStyle/>
    <a:p>
      <a:pPr>
        <a:defRPr sz="4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Dépenses d'Investissement</a:t>
            </a:r>
          </a:p>
        </c:rich>
      </c:tx>
      <c:layout>
        <c:manualLayout>
          <c:xMode val="edge"/>
          <c:yMode val="edge"/>
          <c:x val="0.33106006719574316"/>
          <c:y val="4.5052493438320303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8970859138470453E-2"/>
          <c:y val="0.30034683606801821"/>
          <c:w val="0.55373746908314869"/>
          <c:h val="0.56064742732696693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CDA-4F52-9B61-02C3EDFA0C51}"/>
              </c:ext>
            </c:extLst>
          </c:dPt>
          <c:dPt>
            <c:idx val="1"/>
            <c:spPr>
              <a:solidFill>
                <a:schemeClr val="accent6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CDA-4F52-9B61-02C3EDFA0C51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CDA-4F52-9B61-02C3EDFA0C51}"/>
              </c:ext>
            </c:extLst>
          </c:dPt>
          <c:dLbls>
            <c:dLbl>
              <c:idx val="2"/>
              <c:spPr/>
              <c:txPr>
                <a:bodyPr/>
                <a:lstStyle/>
                <a:p>
                  <a:pPr>
                    <a:defRPr sz="800" baseline="0">
                      <a:latin typeface="Trebuchet MS" pitchFamily="34" charset="0"/>
                    </a:defRPr>
                  </a:pPr>
                  <a:endParaRPr lang="fr-FR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DA-4F52-9B61-02C3EDFA0C5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aseline="0"/>
                </a:pPr>
                <a:endParaRPr lang="fr-FR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'BP12'!$B$61:$B$64</c:f>
              <c:strCache>
                <c:ptCount val="4"/>
                <c:pt idx="0">
                  <c:v>Remboursements d'emprunt</c:v>
                </c:pt>
                <c:pt idx="1">
                  <c:v>Solde d'exécution reporté</c:v>
                </c:pt>
                <c:pt idx="2">
                  <c:v>Dépenses imprévues Invest.</c:v>
                </c:pt>
                <c:pt idx="3">
                  <c:v>Immobilisations </c:v>
                </c:pt>
              </c:strCache>
            </c:strRef>
          </c:cat>
          <c:val>
            <c:numRef>
              <c:f>'BP12'!$D$61:$D$64</c:f>
              <c:numCache>
                <c:formatCode>0.00%</c:formatCode>
                <c:ptCount val="4"/>
                <c:pt idx="0">
                  <c:v>4.4349026841240632E-2</c:v>
                </c:pt>
                <c:pt idx="1">
                  <c:v>0.47945179563162088</c:v>
                </c:pt>
                <c:pt idx="2">
                  <c:v>2.5198310705250346E-2</c:v>
                </c:pt>
                <c:pt idx="3">
                  <c:v>0.45100086682188845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CDA-4F52-9B61-02C3EDFA0C51}"/>
            </c:ext>
          </c:extLst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379671475976733"/>
          <c:y val="0.43550288713910812"/>
          <c:w val="0.29953066517572907"/>
          <c:h val="0.2903349081364831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zero"/>
  </c:chart>
  <c:spPr>
    <a:noFill/>
    <a:ln w="9525">
      <a:noFill/>
    </a:ln>
  </c:spPr>
  <c:txPr>
    <a:bodyPr/>
    <a:lstStyle/>
    <a:p>
      <a:pPr>
        <a:defRPr sz="3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Recettes d'Investissement</a:t>
            </a:r>
          </a:p>
        </c:rich>
      </c:tx>
      <c:layout>
        <c:manualLayout>
          <c:xMode val="edge"/>
          <c:yMode val="edge"/>
          <c:x val="0.33885819067137191"/>
          <c:y val="3.8610038610038609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6596402768984167E-2"/>
          <c:y val="0.35135190334152688"/>
          <c:w val="0.54452352852287067"/>
          <c:h val="0.42857210187812639"/>
        </c:manualLayout>
      </c:layout>
      <c:pie3D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910-40ED-A90D-C6CA43557CE9}"/>
              </c:ext>
            </c:extLst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910-40ED-A90D-C6CA43557CE9}"/>
              </c:ext>
            </c:extLst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910-40ED-A90D-C6CA43557CE9}"/>
              </c:ext>
            </c:extLst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910-40ED-A90D-C6CA43557CE9}"/>
              </c:ext>
            </c:extLst>
          </c:dPt>
          <c:dPt>
            <c:idx val="4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910-40ED-A90D-C6CA43557CE9}"/>
              </c:ext>
            </c:extLst>
          </c:dPt>
          <c:dPt>
            <c:idx val="5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910-40ED-A90D-C6CA43557CE9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>
                    <a:latin typeface="Trebuchet MS" pitchFamily="34" charset="0"/>
                  </a:defRPr>
                </a:pPr>
                <a:endParaRPr lang="fr-FR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'BP12'!$B$84:$B$89</c:f>
              <c:strCache>
                <c:ptCount val="6"/>
                <c:pt idx="0">
                  <c:v>FCTVA</c:v>
                </c:pt>
                <c:pt idx="1">
                  <c:v>Taxe d'aménagement</c:v>
                </c:pt>
                <c:pt idx="2">
                  <c:v>Subventions d'investissement</c:v>
                </c:pt>
                <c:pt idx="3">
                  <c:v>Produits des cessions</c:v>
                </c:pt>
                <c:pt idx="4">
                  <c:v>Solde exécution reporté</c:v>
                </c:pt>
                <c:pt idx="5">
                  <c:v>Op. patrimoniales</c:v>
                </c:pt>
              </c:strCache>
            </c:strRef>
          </c:cat>
          <c:val>
            <c:numRef>
              <c:f>'BP12'!$D$84:$D$89</c:f>
              <c:numCache>
                <c:formatCode>0.00%</c:formatCode>
                <c:ptCount val="6"/>
                <c:pt idx="0">
                  <c:v>0.15925332365718217</c:v>
                </c:pt>
                <c:pt idx="1">
                  <c:v>3.0237972846300417E-2</c:v>
                </c:pt>
                <c:pt idx="2">
                  <c:v>0.30251075967867147</c:v>
                </c:pt>
                <c:pt idx="3">
                  <c:v>0.50396621410500642</c:v>
                </c:pt>
                <c:pt idx="4">
                  <c:v>0</c:v>
                </c:pt>
                <c:pt idx="5">
                  <c:v>4.0317297128400591E-3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4910-40ED-A90D-C6CA43557CE9}"/>
            </c:ext>
          </c:extLst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988140181107536"/>
          <c:y val="0.30888071423504559"/>
          <c:w val="0.31535345753013744"/>
          <c:h val="0.5135143242229849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 rtl="0"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zero"/>
  </c:chart>
  <c:spPr>
    <a:noFill/>
    <a:ln w="9525">
      <a:noFill/>
    </a:ln>
  </c:spPr>
  <c:txPr>
    <a:bodyPr/>
    <a:lstStyle/>
    <a:p>
      <a:pPr>
        <a:defRPr sz="4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Maire</cp:lastModifiedBy>
  <cp:revision>1</cp:revision>
  <dcterms:created xsi:type="dcterms:W3CDTF">2022-06-01T14:05:00Z</dcterms:created>
  <dcterms:modified xsi:type="dcterms:W3CDTF">2022-06-01T14:08:00Z</dcterms:modified>
</cp:coreProperties>
</file>